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923185">
      <w:pPr>
        <w:rPr>
          <w:rStyle w:val="opis"/>
          <w:rFonts w:eastAsia="Times New Roman"/>
        </w:rPr>
      </w:pPr>
      <w:bookmarkStart w:id="0" w:name="_GoBack"/>
      <w:bookmarkEnd w:id="0"/>
      <w:r>
        <w:rPr>
          <w:rStyle w:val="menu11"/>
          <w:rFonts w:eastAsia="Times New Roman"/>
        </w:rPr>
        <w:t>Struktura komunikatu:</w:t>
      </w:r>
      <w:r>
        <w:rPr>
          <w:rStyle w:val="firstpage"/>
          <w:rFonts w:eastAsia="Times New Roman"/>
        </w:rPr>
        <w:t xml:space="preserve"> </w:t>
      </w:r>
      <w:r>
        <w:rPr>
          <w:rStyle w:val="tekst11"/>
          <w:rFonts w:eastAsia="Times New Roman"/>
        </w:rPr>
        <w:t>Status komunikatu dotyczącego papierów Skarbu Państwa</w:t>
      </w:r>
      <w:r>
        <w:rPr>
          <w:rStyle w:val="firstpage"/>
          <w:rFonts w:eastAsia="Times New Roman"/>
        </w:rPr>
        <w:t xml:space="preserve"> </w:t>
      </w:r>
      <w:r>
        <w:rPr>
          <w:rStyle w:val="menu21"/>
          <w:rFonts w:eastAsia="Times New Roman"/>
        </w:rPr>
        <w:t>(semt.tr2.001.04)</w:t>
      </w:r>
      <w:r>
        <w:rPr>
          <w:rStyle w:val="firstpage"/>
          <w:rFonts w:eastAsia="Times New Roman"/>
        </w:rPr>
        <w:t xml:space="preserve"> </w:t>
      </w:r>
      <w:r>
        <w:rPr>
          <w:rFonts w:eastAsia="Times New Roman"/>
        </w:rPr>
        <w:br/>
      </w:r>
    </w:p>
    <w:p w:rsidR="00000000" w:rsidRDefault="00923185">
      <w:pPr>
        <w:pStyle w:val="Nagwek3"/>
        <w:rPr>
          <w:rFonts w:ascii="Arial" w:hAnsi="Arial" w:cs="Arial"/>
          <w:color w:val="300B66"/>
        </w:rPr>
      </w:pPr>
      <w:r>
        <w:rPr>
          <w:rFonts w:ascii="Arial" w:eastAsia="Times New Roman" w:hAnsi="Arial" w:cs="Arial"/>
          <w:color w:val="300B66"/>
        </w:rPr>
        <w:t>Opis:</w:t>
      </w:r>
    </w:p>
    <w:p w:rsidR="00000000" w:rsidRDefault="00923185">
      <w:pPr>
        <w:rPr>
          <w:rStyle w:val="opis"/>
        </w:rPr>
      </w:pPr>
      <w:r>
        <w:rPr>
          <w:rStyle w:val="tekst11"/>
          <w:rFonts w:eastAsia="Times New Roman"/>
        </w:rPr>
        <w:t>Status komunikatu dotyczącego papierów Skarbu Państwa.</w:t>
      </w:r>
      <w:r>
        <w:rPr>
          <w:rStyle w:val="opis"/>
          <w:rFonts w:eastAsia="Times New Roman"/>
        </w:rPr>
        <w:t xml:space="preserve"> </w:t>
      </w:r>
    </w:p>
    <w:p w:rsidR="00000000" w:rsidRDefault="00923185">
      <w:pPr>
        <w:pStyle w:val="Nagwek3"/>
        <w:rPr>
          <w:rFonts w:ascii="Arial" w:hAnsi="Arial" w:cs="Arial"/>
          <w:color w:val="300B66"/>
        </w:rPr>
      </w:pPr>
      <w:r>
        <w:rPr>
          <w:rFonts w:ascii="Arial" w:eastAsia="Times New Roman" w:hAnsi="Arial" w:cs="Arial"/>
          <w:color w:val="300B66"/>
        </w:rPr>
        <w:t>Struktura: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11"/>
        <w:gridCol w:w="401"/>
        <w:gridCol w:w="3060"/>
        <w:gridCol w:w="1411"/>
        <w:gridCol w:w="771"/>
        <w:gridCol w:w="3151"/>
      </w:tblGrid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single" w:sz="6" w:space="0" w:color="F2829C"/>
              <w:right w:val="outset" w:sz="6" w:space="0" w:color="auto"/>
            </w:tcBorders>
            <w:shd w:val="clear" w:color="auto" w:fill="F9C1C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Lp.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single" w:sz="6" w:space="0" w:color="F2829C"/>
              <w:right w:val="outset" w:sz="6" w:space="0" w:color="auto"/>
            </w:tcBorders>
            <w:shd w:val="clear" w:color="auto" w:fill="F9C1C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Lub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single" w:sz="6" w:space="0" w:color="F2829C"/>
              <w:right w:val="outset" w:sz="6" w:space="0" w:color="auto"/>
            </w:tcBorders>
            <w:shd w:val="clear" w:color="auto" w:fill="F9C1C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&lt; XML Tag &gt; 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single" w:sz="6" w:space="0" w:color="F2829C"/>
              <w:right w:val="outset" w:sz="6" w:space="0" w:color="auto"/>
            </w:tcBorders>
            <w:shd w:val="clear" w:color="auto" w:fill="F9C1C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Nazwa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single" w:sz="6" w:space="0" w:color="F2829C"/>
              <w:right w:val="outset" w:sz="6" w:space="0" w:color="auto"/>
            </w:tcBorders>
            <w:shd w:val="clear" w:color="auto" w:fill="F9C1C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Krotność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single" w:sz="6" w:space="0" w:color="F2829C"/>
              <w:right w:val="outset" w:sz="6" w:space="0" w:color="auto"/>
            </w:tcBorders>
            <w:shd w:val="clear" w:color="auto" w:fill="F9C1C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Typ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KDPWDocument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Komunikat systemu KDPW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KDPWDocument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semt.tr2.001.04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Status komunikatu dotyczącego papierów Skarbu Państwa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[1..n]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semt.tr2.001.04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GnlInf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Informacje ogólne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GeneralInformation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SndrMsgRef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Identyfikator komunikatu utworzony przez nadawcę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Max16Text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FuncOfMsg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Funkcja komunikatu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FunctionOfMessage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CreDtTm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Data utworzenia zestawienia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DateAndDateTimeChoice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 { lub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Dt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Data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ISODate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  lub }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DtTm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Data i czas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ISODateTime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StmtPrd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Okres sprawozdawczy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StatementPeriod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Mnth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Numer miesiąca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Month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Year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Rok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Lnk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Referencje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Linkages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RltdRef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Referencja do poprzednio otrzymanego komunikatu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Max16Text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Status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Status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StsCd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Kod statusu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Code4Text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Przyczyna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Reason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RsnTp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Kod przyczyny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Code4Text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RsnTxt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Opis przyczyny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Max140Text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StmtForScty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Zestawienie dla papieru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[0..n]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StatementForSecurity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ISIN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Kod ISIN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ISINIdentifier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OwndQtyDtls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posiadanych na rachunkach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OwnedQuantityDetails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RsdntQty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posiadanych na rachunkach –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</w:t>
            </w:r>
            <w:r>
              <w:rPr>
                <w:rFonts w:eastAsia="Times New Roman"/>
              </w:rPr>
              <w:t>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</w:t>
            </w:r>
            <w:r>
              <w:rPr>
                <w:rFonts w:eastAsia="Times New Roman"/>
              </w:rPr>
              <w:t>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3.2.1.6.1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</w:t>
            </w:r>
            <w:r>
              <w:rPr>
                <w:rFonts w:eastAsia="Times New Roman"/>
              </w:rPr>
              <w:t>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</w:t>
            </w:r>
            <w:r>
              <w:rPr>
                <w:rFonts w:eastAsia="Times New Roman"/>
              </w:rPr>
              <w:t>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Łączna liczba papier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NonRsdntQty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posiadanych na rachunkach –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</w:t>
            </w:r>
            <w:r>
              <w:rPr>
                <w:rStyle w:val="src-element1"/>
                <w:rFonts w:eastAsia="Times New Roman"/>
              </w:rPr>
              <w:t>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centralne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3.2.2.4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</w:t>
            </w:r>
            <w:r>
              <w:rPr>
                <w:rFonts w:eastAsia="Times New Roman"/>
              </w:rPr>
              <w:t>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Wartość nominaln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3.2.2.11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3.2.2.11.2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PrchsdQtyDtls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nabytych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PurchasedSoldQuantityDetails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TxDrct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bezwarunkowe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.1.1.4.1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 xml:space="preserve">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lastRenderedPageBreak/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</w:t>
            </w:r>
            <w:r>
              <w:rPr>
                <w:rFonts w:eastAsia="Times New Roman"/>
              </w:rPr>
              <w:t>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r>
              <w:rPr>
                <w:rFonts w:eastAsia="Times New Roman"/>
              </w:rPr>
              <w:t>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centralne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r>
              <w:rPr>
                <w:rFonts w:eastAsia="Times New Roman"/>
              </w:rPr>
              <w:t>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3.3.1.2.4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</w:t>
            </w:r>
            <w:r>
              <w:rPr>
                <w:rFonts w:eastAsia="Times New Roman"/>
              </w:rPr>
              <w:t>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</w:t>
            </w:r>
            <w:r>
              <w:rPr>
                <w:rFonts w:eastAsia="Times New Roman"/>
              </w:rPr>
              <w:t>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3.3.1.2.11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3.3.1.2.11.2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TxRp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Transakcje - repo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Jednostk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3.3.2.1.6.1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</w:t>
            </w:r>
            <w:r>
              <w:rPr>
                <w:rFonts w:eastAsia="Times New Roman"/>
              </w:rPr>
              <w:t>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centralne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 xml:space="preserve">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lastRenderedPageBreak/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2.2.7.1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</w:t>
            </w:r>
            <w:r>
              <w:rPr>
                <w:rFonts w:eastAsia="Times New Roman"/>
              </w:rPr>
              <w:t>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</w:t>
            </w:r>
            <w:r>
              <w:rPr>
                <w:rFonts w:eastAsia="Times New Roman"/>
              </w:rPr>
              <w:t>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3.3.2.2.11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Łą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3.3.2.2.11.2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TxSllBuyBck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sell buy back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3.3.3.1.6.1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</w:t>
            </w:r>
            <w:r>
              <w:rPr>
                <w:rFonts w:eastAsia="Times New Roman"/>
              </w:rPr>
              <w:t>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</w:t>
            </w: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Transa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kcje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Liczba papierów - banki cent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 xml:space="preserve">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lastRenderedPageBreak/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Liczba papierów - gospodarstw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</w:t>
            </w:r>
            <w:r>
              <w:rPr>
                <w:rFonts w:eastAsia="Times New Roman"/>
              </w:rPr>
              <w:t>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3.3.3.2.11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3.3.3.2.11.2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SldQtyDtls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zbytych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PurchasedSoldQuantityDetails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TxDrct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bezwarunkowe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 xml:space="preserve">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lastRenderedPageBreak/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Transa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kcje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Liczba papierów - banki cent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3.4.1.2.4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3.4.1.2.11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3.4.1.2.11.2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TxRp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repo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3.4.2.1.6.1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centralne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 xml:space="preserve">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lastRenderedPageBreak/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Wartość nominalna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3.4.2.2.11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3.4.2.2.11.2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TxSllBuyBck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sell buy back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ubezpieczeń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3.4.3.1.2.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3.4.3.1.6.1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rządowe i samorządowe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Transakcje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centralne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zakłady 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 xml:space="preserve">ubezpieczeń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lastRenderedPageBreak/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.3.2.8.1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3.4.3.2.11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Łączna liczba papierów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3.4.3.2.11.2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RgnCtr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yNonRsdntDtls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Pochodzenie - nierezydenci – stany posiadania na rachunkach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RegionCountryNonResidentDetails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CtryNonRsdntDtls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Pochodzenie - kraj –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[0..n]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CountryNonResidentDetails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Kod kraju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CountryCode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z wyłączeniem banków centralnych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instytucje publiczne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</w:t>
            </w:r>
            <w:r>
              <w:rPr>
                <w:rFonts w:eastAsia="Times New Roman"/>
              </w:rPr>
              <w:t>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Liczba papierów - zakłady ubezpiec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zeń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emerytalne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inwestycyjne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lastRenderedPageBreak/>
              <w:t>3.5.1.6.2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fundusze hedgingowe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gospodarstwa domowe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przedsiębiorstwa niefinansowe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</w:t>
            </w:r>
            <w:r>
              <w:rPr>
                <w:rFonts w:eastAsia="Times New Roman"/>
              </w:rPr>
              <w:t>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inne podmioty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3.5.1.10.1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3.5.1.10.2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RgnNonRsdntDtls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Pochodzenie - region –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[0..n]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RegionNonResidentDetails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Rgn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Kod regionu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RegionCode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Liczba papierów - banki centralne - nierezydenci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3.5.2.2.1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Jednostki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3.5.2.2.2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Wartość nominalna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Przyczyna błędu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Reason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3.6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RsnTp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Kod przyczyny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[1..1]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Code4Text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3.6.2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                </w:t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RsnTxt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Opis przyczyny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C9C3D3"/>
              <w:right w:val="outset" w:sz="6" w:space="0" w:color="auto"/>
            </w:tcBorders>
            <w:shd w:val="clear" w:color="auto" w:fill="F0F0F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Default="00923185">
            <w:pPr>
              <w:jc w:val="center"/>
              <w:rPr>
                <w:rFonts w:ascii="Arial" w:eastAsia="Times New Roman" w:hAnsi="Arial" w:cs="Arial"/>
                <w:color w:val="300B66"/>
                <w:sz w:val="18"/>
                <w:szCs w:val="18"/>
              </w:rPr>
            </w:pPr>
            <w:r>
              <w:rPr>
                <w:rStyle w:val="src-element1"/>
                <w:rFonts w:eastAsia="Times New Roman"/>
              </w:rPr>
              <w:t>[0..1]</w:t>
            </w:r>
            <w:r>
              <w:rPr>
                <w:rFonts w:ascii="Arial" w:eastAsia="Times New Roman" w:hAnsi="Arial" w:cs="Arial"/>
                <w:color w:val="300B66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Max140Text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rPr>
          <w:rFonts w:eastAsia="Times New Roman"/>
        </w:rPr>
      </w:pPr>
      <w:r>
        <w:rPr>
          <w:rFonts w:eastAsia="Times New Roman"/>
        </w:rPr>
        <w:br/>
      </w:r>
    </w:p>
    <w:p w:rsidR="00000000" w:rsidRDefault="00923185">
      <w:pPr>
        <w:pStyle w:val="Nagwek3"/>
        <w:rPr>
          <w:rFonts w:ascii="Arial" w:eastAsia="Times New Roman" w:hAnsi="Arial" w:cs="Arial"/>
          <w:color w:val="300B66"/>
        </w:rPr>
      </w:pPr>
      <w:r>
        <w:rPr>
          <w:rFonts w:ascii="Arial" w:eastAsia="Times New Roman" w:hAnsi="Arial" w:cs="Arial"/>
          <w:color w:val="300B66"/>
        </w:rPr>
        <w:t>Elementy składowe komunikatu: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39860958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lastRenderedPageBreak/>
              <w:t>KDPWDocument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Komunikat systemu KDPW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3986095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Komunikat systemu KDPW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3986095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KDPWDocument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3986095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="KDPWDocument"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="KDPWDocument"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Amount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Wartość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Wartość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xs:decimal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wartość=0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Liczba znaków po przecinku=2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Liczba znaków=14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="Amount"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="xs:decimal"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&lt;xs:minInclusive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xs:fractionDigits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="2"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&lt;xs:totalDigits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851534271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85153427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Code4Text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Kwalifikator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5153427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Kwalifikator, kod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51534271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divId w:val="851534271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długość=4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Maks. długość=4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851534271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="Code4Text"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&lt;xs:whiteSpace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="collapse"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&lt;xs:maxLength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</w:t>
            </w:r>
            <w:r>
              <w:rPr>
                <w:rStyle w:val="tekst4"/>
                <w:rFonts w:eastAsia="Times New Roman"/>
              </w:rPr>
              <w:t>ryCode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kraju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Kod kraju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xs:pattern=[A-Z]{2,2}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="CountryCode"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&lt;xs:pattern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="[A-Z]{2,2}"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04664646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10466464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Pochodzenie - kraj –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skarbowych papierów wartościowych na rachunkach prowadzonych przez podmiot sprawozdawczy według kraju pochodzenia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Cntry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="CountryNonResidentDetails"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="Cntry"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="CountryCode"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="PblcInstQty"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>="FinancialInstrumen</w:t>
            </w:r>
            <w:r>
              <w:rPr>
                <w:rFonts w:eastAsia="Times New Roman"/>
              </w:rPr>
              <w:t xml:space="preserve">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="InsQty"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="PnsnFndQty"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="InvstFndQty"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="HdgFndQty"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="HoushldQty"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>="NonFinCmp</w:t>
            </w:r>
            <w:r>
              <w:rPr>
                <w:rFonts w:eastAsia="Times New Roman"/>
              </w:rPr>
              <w:t xml:space="preserve">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="OthrQty"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826588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826588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CountryNonResidentDetails/Cntry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kraju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26588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Kraj – ozn</w:t>
            </w:r>
            <w:r>
              <w:rPr>
                <w:rStyle w:val="tekst11"/>
                <w:rFonts w:eastAsia="Times New Roman"/>
              </w:rPr>
              <w:t xml:space="preserve">aczenie kraju według kodu ISO 3166-1 Alpha-2 </w:t>
            </w:r>
          </w:p>
        </w:tc>
      </w:tr>
      <w:tr w:rsidR="00000000">
        <w:trPr>
          <w:divId w:val="826588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CountryCode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26588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="Cntry"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="CountryCode"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466464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CountryNonResidentDetails/NonCntrlBnkQty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banki z wyłączeniem banków centralnych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banki z wyłączeniem banków centralnych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</w:t>
            </w:r>
            <w:r>
              <w:rPr>
                <w:rStyle w:val="src-attribute1"/>
                <w:rFonts w:eastAsia="Times New Roman"/>
              </w:rPr>
              <w:t>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31703316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31703316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CountryNonResidentDetails/PblcInstQty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instytucje publiczne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31703316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instytucje publiczne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31703316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31703316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="PblcInstQty"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466464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CountryNonResidentDetails/InsQty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zakłady ubezpieczeń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zakłady ubezpieczeń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>="InsQty</w:t>
            </w:r>
            <w:r>
              <w:rPr>
                <w:rFonts w:eastAsia="Times New Roman"/>
              </w:rPr>
              <w:t xml:space="preserve">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244075077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244075077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CountryNonResidentDetails/PnsnFndQty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emerytalne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4407507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emerytalne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4407507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4407507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="PnsnFndQty"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466464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CountryNonResidentDetails/InvstFndQty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inwestycyjne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inwestycyjne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="InvstFndQty"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46544050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46544050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CountryNonResidentDetails/HdgFndQty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hedgi</w:t>
            </w:r>
            <w:r>
              <w:rPr>
                <w:rStyle w:val="tekst11"/>
                <w:rFonts w:eastAsia="Times New Roman"/>
              </w:rPr>
              <w:t>ngowe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46544050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hedgingowe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46544050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46544050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="HdgFndQty"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466464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CountryNonResidentDetails/HoushldQty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gospodarstwa domowe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gospodarstwa domowe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="HoushldQty"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96798051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679805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CountryNonResidentDetails/NonFinCmpQty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przedsiębiorstwa niefinansowe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67980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przedsiębiorstwa niefinansowe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67980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67980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="NonFinCmpQty"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466464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CountryNonResidentDetails/OthrQty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inne podmioty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inne podmioty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466464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="OthrQty"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DateAndDateTimeChoice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Data i czas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Data i czas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Dt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DtTm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="DateAndDateTimeChoice"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&lt;xs:choice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="Dt"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="ISODate"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="DtTm"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="ISODateTime"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&lt;/xs:choice&gt;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328875827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328875827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DateAndDateTimeChoice/Dt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Data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2887582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Data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2887582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ISODate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2887582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="Dt"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="ISODate"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DateAndDateTimeChoice/DtTm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Data i czas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Data i czas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ISODateTime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="DtTm"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="ISODateTime"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82269391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82269391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FunctionOfMessage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Funkcja komunikatu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2269391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Funkcja komunikatu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2269391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divId w:val="82269391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0"/>
              <w:gridCol w:w="3040"/>
            </w:tblGrid>
            <w:tr w:rsidR="00000000">
              <w:trPr>
                <w:tblCellSpacing w:w="0" w:type="dxa"/>
              </w:trPr>
              <w:tc>
                <w:tcPr>
                  <w:tcW w:w="1000" w:type="pct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Style w:val="headings1"/>
                      <w:rFonts w:eastAsia="Times New Roman"/>
                    </w:rPr>
                    <w:t>Kod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  <w:tc>
                <w:tcPr>
                  <w:tcW w:w="4000" w:type="pct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Style w:val="headings1"/>
                      <w:rFonts w:eastAsia="Times New Roman"/>
                    </w:rPr>
                    <w:t>Opis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NEWM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Nowe zestawienie</w:t>
                  </w:r>
                </w:p>
              </w:tc>
            </w:tr>
          </w:tbl>
          <w:p w:rsidR="00000000" w:rsidRDefault="00923185">
            <w:pPr>
              <w:rPr>
                <w:rFonts w:eastAsia="Times New Roman"/>
              </w:rPr>
            </w:pPr>
          </w:p>
        </w:tc>
      </w:tr>
      <w:tr w:rsidR="00000000">
        <w:trPr>
          <w:divId w:val="82269391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="FunctionOfMessage"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</w:t>
            </w:r>
            <w:r>
              <w:rPr>
                <w:rStyle w:val="src-element1"/>
                <w:rFonts w:eastAsia="Times New Roman"/>
              </w:rPr>
              <w:t>enumeration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="NEWM"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GeneralInformation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Informacje ogólne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Ogólne informacje związane z komunikatem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SndrMsgRef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FuncOfMsg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CreDtTm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StmtPrd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Lnk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="GeneralInformation"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="SndrMsgRef"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="Max16Text"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="FuncOfMsg"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="FunctionOfMessage"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="CreDtTm"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="DateAndDateTimeChoice"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="StmtPrd"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="StatementPeriod"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lastRenderedPageBreak/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="Lnk"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="Linkages"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775828037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775828037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GeneralInformation/SndrMsgRef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Identyfikator komunikatu utworzony przez nadawcę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77582803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Identyfikator komunikatu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77582803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Max16Text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77582803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="SndrMsgRef"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="Max16Text"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GeneralInformation/FuncOfMsg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Funkcja komunikatu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Funkcja komunikatu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FunctionOfMessage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="FuncOfMsg"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="FunctionOfMessage"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295064268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295064268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GeneralInformation/CreDtTm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Data utworzenia zestawienia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950642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Data utworzenia zestawienia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950642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DateAndDateTimeChoice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950642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="CreDtTm"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="DateAndDateTimeChoice"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GeneralInformation/StmtPrd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Okres sprawozdawczy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Okres sprawozdawczy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StatementPeriod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="StmtPrd"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="StatementPeriod"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819424021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81942402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GeneralInformation/Lnk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Referencje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1942402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Powiązania z innymi komunikatami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1942402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Linkages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1942402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="Lnk"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="Linkages"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FinancialInstrumentQuantity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instrumentów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instrumentów wyrażona w jednostkach lub wartości nominalnej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Unit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FaceAmt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>="U</w:t>
            </w:r>
            <w:r>
              <w:rPr>
                <w:rFonts w:eastAsia="Times New Roman"/>
              </w:rPr>
              <w:t xml:space="preserve">nit"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="Max14Int"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="FaceAmt"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="Amount"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804543987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804543987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FinancialInstrumentQuantity/Unit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Jednostki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0454398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Jednostki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0454398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0454398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="Unit"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="Max14Int"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lastRenderedPageBreak/>
              <w:t>FinancialInstrumentQuantity/FaceAmt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Wartość nominalna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Wartość nominalna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Amount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="FaceAmt"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="Amount"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994795075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994795075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ISINIdentifier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ISIN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99479507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Kod instrumentu finansowego ISIN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99479507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divId w:val="199479507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długość=12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Maks. długość=12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99479507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="ISINIdentifier"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&lt;xs:whiteSpace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="collapse"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="12"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xs:maxLength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="12"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ISODate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Data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Data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xs:date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="ISODate"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="xs:date"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832766385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832766385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ISODateTime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Data i czas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3276638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Data i czas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3276638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xs:dateTime</w:t>
            </w:r>
          </w:p>
        </w:tc>
      </w:tr>
      <w:tr w:rsidR="00000000">
        <w:trPr>
          <w:divId w:val="83276638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</w:p>
        </w:tc>
      </w:tr>
      <w:tr w:rsidR="00000000">
        <w:trPr>
          <w:divId w:val="83276638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="ISODateTime"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="xs:dateTime"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KDPWDocument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Komunikat systemu KDPW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Komunikat systemu KDPW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Atrybuty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23"/>
              <w:gridCol w:w="2223"/>
              <w:gridCol w:w="2224"/>
            </w:tblGrid>
            <w:tr w:rsidR="00000000">
              <w:trPr>
                <w:tblCellSpacing w:w="0" w:type="dxa"/>
              </w:trPr>
              <w:tc>
                <w:tcPr>
                  <w:tcW w:w="1500" w:type="pct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Style w:val="headings1"/>
                      <w:rFonts w:eastAsia="Times New Roman"/>
                    </w:rPr>
                    <w:t>Nazwa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  <w:tc>
                <w:tcPr>
                  <w:tcW w:w="1500" w:type="pct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Style w:val="headings1"/>
                      <w:rFonts w:eastAsia="Times New Roman"/>
                    </w:rPr>
                    <w:t>Opis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  <w:tc>
                <w:tcPr>
                  <w:tcW w:w="1500" w:type="pct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Style w:val="headings1"/>
                      <w:rFonts w:eastAsia="Times New Roman"/>
                    </w:rPr>
                    <w:t>Typ</w:t>
                  </w:r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Sndr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Nadawca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hyperlink w:anchor="xs:simpleType{urn:kdpw:xsd:semt.tr2.001" w:history="1">
                    <w:r>
                      <w:rPr>
                        <w:rStyle w:val="Hipercze"/>
                        <w:rFonts w:ascii="Arial" w:eastAsia="Times New Roman" w:hAnsi="Arial" w:cs="Arial"/>
                        <w:b/>
                        <w:bCs/>
                        <w:color w:val="569600"/>
                        <w:u w:val="single"/>
                      </w:rPr>
                      <w:t>KDPWMemberIdentifier</w:t>
                    </w:r>
                  </w:hyperlink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Rcvr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Odbiorca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00000" w:rsidRDefault="00923185">
                  <w:pPr>
                    <w:rPr>
                      <w:rFonts w:eastAsia="Times New Roman"/>
                    </w:rPr>
                  </w:pPr>
                  <w:hyperlink w:anchor="xs:simpleType{urn:kdpw:xsd:semt.tr2.001" w:history="1">
                    <w:r>
                      <w:rPr>
                        <w:rStyle w:val="Hipercze"/>
                        <w:rFonts w:ascii="Arial" w:eastAsia="Times New Roman" w:hAnsi="Arial" w:cs="Arial"/>
                        <w:b/>
                        <w:bCs/>
                        <w:color w:val="569600"/>
                        <w:u w:val="single"/>
                      </w:rPr>
                      <w:t>KDPWMemberIdentifier</w:t>
                    </w:r>
                  </w:hyperlink>
                  <w:r>
                    <w:rPr>
                      <w:rFonts w:eastAsia="Times New Roman"/>
                    </w:rPr>
                    <w:t xml:space="preserve"> </w:t>
                  </w:r>
                </w:p>
              </w:tc>
            </w:tr>
          </w:tbl>
          <w:p w:rsidR="00000000" w:rsidRDefault="00923185">
            <w:pPr>
              <w:rPr>
                <w:rFonts w:eastAsia="Times New Roman"/>
              </w:rPr>
            </w:pP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semt.tr2.001.04</w:t>
              </w:r>
            </w:hyperlink>
            <w:r>
              <w:rPr>
                <w:rFonts w:eastAsia="Times New Roman"/>
              </w:rPr>
              <w:t xml:space="preserve">{1,unbounded}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="KDPWDocument"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="semt.tr2.001.04"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="semt.tr2.001.04"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</w:t>
            </w:r>
            <w:r>
              <w:rPr>
                <w:rStyle w:val="src-element1"/>
                <w:rFonts w:eastAsia="Times New Roman"/>
              </w:rPr>
              <w:t>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&lt; </w:t>
            </w:r>
            <w:r>
              <w:rPr>
                <w:rStyle w:val="src-element1"/>
                <w:rFonts w:eastAsia="Times New Roman"/>
              </w:rPr>
              <w:t>xs:attribute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="Sndr"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="KDPWMemberIdentifier" </w:t>
            </w:r>
            <w:r>
              <w:rPr>
                <w:rStyle w:val="src-attribute1"/>
                <w:rFonts w:eastAsia="Times New Roman"/>
              </w:rPr>
              <w:t>use</w:t>
            </w:r>
            <w:r>
              <w:rPr>
                <w:rFonts w:eastAsia="Times New Roman"/>
              </w:rPr>
              <w:t xml:space="preserve">="required"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&lt; </w:t>
            </w:r>
            <w:r>
              <w:rPr>
                <w:rStyle w:val="src-element1"/>
                <w:rFonts w:eastAsia="Times New Roman"/>
              </w:rPr>
              <w:t>xs:attribute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="Rcvr"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="KDPWMemberIdentifier" </w:t>
            </w:r>
            <w:r>
              <w:rPr>
                <w:rStyle w:val="src-attribute1"/>
                <w:rFonts w:eastAsia="Times New Roman"/>
              </w:rPr>
              <w:t>use</w:t>
            </w:r>
            <w:r>
              <w:rPr>
                <w:rFonts w:eastAsia="Times New Roman"/>
              </w:rPr>
              <w:t xml:space="preserve">="required"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95586758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95586758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KDPWDocument/semt.tr2.001.04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Status komunikatu dotyczącego papierów Skarbu Państwa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95586758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Status komunikatu dotyczącego papierów Skarbu Państwa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95586758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semt.tr2.001.04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95586758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="semt.tr2.001.04"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="semt.tr2.001.04"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KDPWMemberIdentifier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Identyfikator uczestnika KDPW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Identyfikator uczestnika KDPW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długość=4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Maks. długość=4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="KDPWMemberIdentifier"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&lt;xs:whiteSpace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="collapse"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&lt;xs:maxLength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8136271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18136271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Linkages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Referencje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136271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Powiązania z innymi komunikatami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136271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RltdRef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81362712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="Linkages"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="RltdRef"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="Max16Text"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782916366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78291636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Linkages/RltdRef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Referencja do poprzednio otrzymanego komunikatu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78291636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Identyfikator zestawienia przekazanego przez uczestnika.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78291636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Max16Text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78291636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="RltdRef"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="Max16Text"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Max4Int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całkowita o maksymalnej długości 4 znaków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xs:integer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Liczba znaków=4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Min. wartość=0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="Max4Int"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="xs:integer"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&lt;xs:totalDigits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xs:minInclusive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380322383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380322383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Max14Int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8032238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całkowita o maksymalnej długości 14 znaków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8032238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xs:integer</w:t>
            </w:r>
          </w:p>
        </w:tc>
      </w:tr>
      <w:tr w:rsidR="00000000">
        <w:trPr>
          <w:divId w:val="38032238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Liczba znaków=14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Min. wartość=0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38032238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="Max14Int"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="xs:integer"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&lt;xs:totalDigits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="14"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&lt;xs:minInclusive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Max16Text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Tekst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Tekst o maksymalnej długości 16 znaków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długość=1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Maks. długość=16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="Max16Text"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xs:maxLength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="16"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15949305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15949305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Max140Text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Tekst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5949305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Tekst o maksymalnej długości 140 znaków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59493059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divId w:val="1159493059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długość=1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Maks. długość=140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159493059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="Max140Text"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&lt;xs:maxLength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="140"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Month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całkowita o maksymalnej długości 2 znaków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xs:integer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Liczba znaków=2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Min. wartość=1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Max. wartość=12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="Month"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="xs:integer"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&lt;xs:totalDigits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="2"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&lt;xs:minInclusive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&lt;xs:maxInclusive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="12"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107653368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1107653368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OwnedQuantityDetails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posiadanych na rachunkach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076533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posiadanych na rachunkach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076533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RsdntQty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NonRsdntQty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107653368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="OwnedQuantityDetails"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="RsdntQty"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="NonRsdntQty"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</w:t>
            </w:r>
            <w:r>
              <w:rPr>
                <w:rStyle w:val="src-element1"/>
                <w:rFonts w:eastAsia="Times New Roman"/>
              </w:rPr>
              <w:t>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854568426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85456842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OwnedQuantityDetails/RsdntQty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posiadanych na rachunkach –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4568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posiadanych na rachunkach –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4568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4568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="RsdntQty"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107653368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OwnedQuantityDetails/NonRsdntQty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posiadanych na rachunkach –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076533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posiadanych na rachunkach –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076533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076533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="NonRsdntQty"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PurchasedSoldQuantityDetails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nabytych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nabytych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TxDrct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TxRp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TxSllBuyBck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="PurchasedSoldQuantityDetails"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="TxDrct"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lastRenderedPageBreak/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="TxRp"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</w:t>
            </w:r>
            <w:r>
              <w:rPr>
                <w:rStyle w:val="src-element1"/>
                <w:rFonts w:eastAsia="Times New Roman"/>
              </w:rPr>
              <w:t>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="TxSllBuyBck"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17710994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17710994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PurchasedSoldQuantityDetails/TxDrct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bezwarunkowe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7710994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bezwarunkowe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7710994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7710994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="TxDrct"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PurchasedSoldQuantityDetails/TxRp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repo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- repo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="TxRp"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53226333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53226333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PurchasedSoldQuantityDetails/TxSllBuyBck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sell buy back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53226333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- sell buy back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53226333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53226333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="TxSllBuyBck"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Reason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RsnTp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RsnTxt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="Reason"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="RsnTp"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="Code4Text"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="RsnTxt"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="Max140Text"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349994385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349994385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Reason/RsnTp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przyczyny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4999438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Kod przyczyny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4999438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Code4Text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34999438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="RsnTp"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="Code4Text"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Reason/RsnTxt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Opis przyczyny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Opis przyczyny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Max140Text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="RsnTxt"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="Max140Text"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25397232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25397232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RegionCode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regionu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prosty)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25397232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Kod regionu zgodny z oznaczeniem wprowadzonym przez rozporządzenie (3 litery)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253972329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Pochodna typu: xs:string</w:t>
            </w:r>
          </w:p>
        </w:tc>
      </w:tr>
      <w:tr w:rsidR="00000000">
        <w:trPr>
          <w:divId w:val="1253972329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Format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Min. długość=3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Maks. długość=3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253972329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&lt;xs:simpleType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="RegionCode"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&lt;xs:restriction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base</w:t>
            </w:r>
            <w:r>
              <w:rPr>
                <w:rFonts w:eastAsia="Times New Roman"/>
              </w:rPr>
              <w:t xml:space="preserve">="xs:string"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xs:minLength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="3"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&lt;xs:maxLength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value</w:t>
            </w:r>
            <w:r>
              <w:rPr>
                <w:rFonts w:eastAsia="Times New Roman"/>
              </w:rPr>
              <w:t xml:space="preserve">="3"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&lt;/xs:restriction&gt;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&lt;/xs:simpleType&gt;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RegionCountryNonResidentDetails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Pochodzenie - nierezydenci – stany posiadania na rachunkach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 xml:space="preserve">Liczba skarbowych papierów wartościowych na rachunkach prowadzonych przez podmiot sprawozdawczy według kraju pochodzenia i regionu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CtryNonRsdntDtls</w:t>
              </w:r>
            </w:hyperlink>
            <w:r>
              <w:rPr>
                <w:rFonts w:eastAsia="Times New Roman"/>
              </w:rPr>
              <w:t xml:space="preserve">{0,unbounded}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RgnNonRsdntDtls</w:t>
              </w:r>
            </w:hyperlink>
            <w:r>
              <w:rPr>
                <w:rFonts w:eastAsia="Times New Roman"/>
              </w:rPr>
              <w:t xml:space="preserve">{0,unbounded}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="RegionCountryNonResidentDetails"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="CtryNonRsdntDtls"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="CountryNonResidentDetails"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="RgnNonRsdntDtls"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="RegionNonResidentDetails"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512064881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51206488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RegionCountryNonResidentDetails/CtryNonRsdntDtls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Pochodzenie - kraj –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1206488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skarbowych papierów wartościowych na rachunkach prowadzonych przez podmiot sprawozdawczy według kraju pochodzenia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1206488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CountryNonResidentDetails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1206488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="CtryNonRsdntDtls"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="CountryNonResidentDetails"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RegionCountryNonResidentDetails/RgnNonRsdntDtls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Pochodzenie - region –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skarbowych papierów wartościowych na rachunkach prowadzonych przez podmiot sprawozdawczy według regionu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RegionNonResidentDetails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="RgnNonRsdntDtls"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="RegionNonResidentDetails"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85893289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185893289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RegionNonResidentDetails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Pochodzenie - region –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893289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skarbowych papierów wartościowych na rachunkach prowadzonych przez podmiot sprawozdawczy według regionu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893289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Rgn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858932892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="RegionNonResidentDetails"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="Rgn"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="RegionCode"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lastRenderedPageBreak/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54611415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54611415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RegionNonResidentDetails/Rgn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regionu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4611415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Region - kod regionu zgodny z oznaczeniem wprowadzonym przez rozporządzenie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4611415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RegionCode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4611415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="Rgn"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="RegionCode"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85893289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RegionNonResidentDetails/CntrlBnkQty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</w:t>
            </w:r>
            <w:r>
              <w:rPr>
                <w:rStyle w:val="tekst11"/>
                <w:rFonts w:eastAsia="Times New Roman"/>
              </w:rPr>
              <w:t>ba papierów - banki centralne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893289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banki centralne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893289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893289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StatementForSecurity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Sprawozdanie dla papieru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Sprawozdanie dla papieru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ISIN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OwndQtyDtls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PrchsdQtyDtls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SldQtyDtls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RgnCtryNonRsdntDtls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>="StatementFo</w:t>
            </w:r>
            <w:r>
              <w:rPr>
                <w:rFonts w:eastAsia="Times New Roman"/>
              </w:rPr>
              <w:t xml:space="preserve">rSecurity"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="ISIN"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="ISINIdentifier"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="OwndQtyDtls"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="OwnedQuantityDetails"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="PrchsdQtyDtls"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="PurchasedSoldQuantityDetails"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="SldQtyDtls"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="PurchasedSoldQuantityDetails"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="RgnCtryNonRsdntDtls"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="RegionCountryNonResidentDetails"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="Reason"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554730436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55473043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StatementForSecurity/ISIN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ISIN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55473043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Kod instrumentu finansowego ISIN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55473043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ISINIdentifier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55473043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="ISIN"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="ISINIdentifier"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StatementForSecurity/OwndQtyDtls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posiadanych na rachunkach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posiadanych na rachunkach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OwnedQuantityDetails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="OwndQtyDtls"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="OwnedQuantityDetails"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2012564723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2012564723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lastRenderedPageBreak/>
              <w:t>StatementForSecurity/PrchsdQtyDtls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nabytych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01256472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nabytych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01256472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PurchasedSoldQuantityDetails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01256472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="PrchsdQtyDtls"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="PurchasedSoldQuantityDetails"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StatementForSecurity/SldQtyDtls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zbytych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zbytych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PurchasedSoldQuantityDetails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="SldQtyDtls"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="PurchasedSoldQuantityDetails"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15017395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15017395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StatementForSecurity/RgnCtryNonRsdntDtls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Pochodzenie - nierezydenci – stany posiadania na rachunkach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5017395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 xml:space="preserve">Liczba skarbowych papierów wartościowych na rachunkach prowadzonych przez podmiot sprawozdawczy według kraju pochodzenia i regionu </w:t>
            </w:r>
          </w:p>
        </w:tc>
      </w:tr>
      <w:tr w:rsidR="00000000">
        <w:trPr>
          <w:divId w:val="115017395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</w:t>
            </w:r>
            <w:r>
              <w:rPr>
                <w:rStyle w:val="headings1"/>
                <w:rFonts w:eastAsia="Times New Roman"/>
              </w:rPr>
              <w:t>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RegionCountryNonResidentDetails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15017395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="RgnCtryNonRsdntDtls"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="RegionCountryNonResidentDetails"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StatementForSecurity/Rsn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Przyczyna błędu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Przyczyna błędu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Reason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="Reason"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48518751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14851875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StatementPeriod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Okres sprawozdawczy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85187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Okres sprawozdawczy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85187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Mnth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Year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48518751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="StatementPeriod"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="Mnth"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="Month"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="Year"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="Max4Int"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54645137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54645137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StatementPeriod/Mnth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Numer miesiąca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4645137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Numer miesiąca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4645137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Month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4645137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="Mnth"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="Month"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4851875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StatementPeriod/Year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Rok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85187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Rok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85187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Max4Int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851875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="Year"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="Max4Int"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lastRenderedPageBreak/>
              <w:t>Status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StsCd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Rsn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="Status"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="StsCd"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="Code4Text"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>  </w:t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="Reason"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566571378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566571378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Status/StsCd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Kod statusu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6657137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Kod statusu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6657137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simpleType{urn:kdpw:xsd:semt.tr2.001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Code4Text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56657137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="StsCd"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="Code4Text"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Status/Rsn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Przyczyna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Przyczyna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Reason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="Rsn"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="Reason"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956105396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95610539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NonCntrlBnkQty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CntrlBnkQty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PblcInstQty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HdgFndQty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="TransactionsNonResident"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>="Pbl</w:t>
            </w:r>
            <w:r>
              <w:rPr>
                <w:rFonts w:eastAsia="Times New Roman"/>
              </w:rPr>
              <w:t xml:space="preserve">cInstQty"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="InsQty"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="PnsnFndQty"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="InvstFndQty"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="HdgFndQty"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lastRenderedPageBreak/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="HoushldQty"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</w:t>
            </w:r>
            <w:r>
              <w:rPr>
                <w:rStyle w:val="src-element1"/>
                <w:rFonts w:eastAsia="Times New Roman"/>
              </w:rPr>
              <w:t>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="NonFinCmpQty"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="OthrQty"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="TotQty"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6950023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6950023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TransactionsNonResident/NonCntrlBnkQty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banki z wyłączeniem banków centralnych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6950023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banki z wyłączeniem banków centralnych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6950023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6950023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</w:t>
            </w:r>
            <w:r>
              <w:rPr>
                <w:rStyle w:val="src-attribute1"/>
                <w:rFonts w:eastAsia="Times New Roman"/>
              </w:rPr>
              <w:t>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5610539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TransactionsNonResident/CntrlBnkQty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banki centralne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banki centralne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="CntrlBnkQty"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96235111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6235111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TransactionsNonResident/PblcInstQty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instytucje publiczne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6235111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instytucje publiczne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6235111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6235111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="PblcInstQty"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5610539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TransactionsNonResident/InsQty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zakłady ubezpieczeń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zakłady ubezpieczeń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="InsQty"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60060586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60060586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TransactionsNonResident/PnsnFndQty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emerytalne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60060586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emerytalne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60060586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60060586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="PnsnFndQty"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5610539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TransactionsNonResident/InvstFndQty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inwest</w:t>
            </w:r>
            <w:r>
              <w:rPr>
                <w:rStyle w:val="tekst11"/>
                <w:rFonts w:eastAsia="Times New Roman"/>
              </w:rPr>
              <w:t>ycyjne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inwestycyjne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="InvstFndQty"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798570311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798570311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lastRenderedPageBreak/>
              <w:t>TransactionsNonResident/HdgFndQty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hedgingowe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79857031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hedgingowe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79857031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798570311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="HdgFndQty"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5610539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TransactionsNonResident/HoushldQty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gospodarstwa domowe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gospodarstwa domowe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</w:t>
              </w:r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="HoushldQty"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22902327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22902327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TransactionsNonResident/NonFinCmpQty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przedsiębiorstwa niefinansowe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290232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przedsiębiorstwa niefinansowe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290232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2902327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="NonFinCmpQty"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5610539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TransactionsNonResident/OthrQty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inne podmioty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inne podmioty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5610539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="OthrQty"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71411686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71411686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TransactionsNonResident/TotQty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Łączna liczba papierów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</w:t>
            </w:r>
            <w:r>
              <w:rPr>
                <w:rStyle w:val="src-element1"/>
                <w:rFonts w:eastAsia="Times New Roman"/>
              </w:rPr>
              <w:t>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71411686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Łączna liczba papierów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71411686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71411686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="TotQty"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BnkQty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InsQty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PnsnFndQty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InvstFndQty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HoushldQty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NonFinCmpQty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GovInstQty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OthrQty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TotQty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="TransactionsResident"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="BnkQty" </w:t>
            </w:r>
            <w:r>
              <w:rPr>
                <w:rStyle w:val="src-attribute1"/>
                <w:rFonts w:eastAsia="Times New Roman"/>
              </w:rPr>
              <w:t>typ</w:t>
            </w:r>
            <w:r>
              <w:rPr>
                <w:rStyle w:val="src-attribute1"/>
                <w:rFonts w:eastAsia="Times New Roman"/>
              </w:rPr>
              <w:t>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="InsQty"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="PnsnFndQty"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lastRenderedPageBreak/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>="InvstFndQty</w:t>
            </w:r>
            <w:r>
              <w:rPr>
                <w:rFonts w:eastAsia="Times New Roman"/>
              </w:rPr>
              <w:t xml:space="preserve">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="HoushldQty"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="NonFinCmpQty"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="GovInstQty"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="OthrQty"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="TotQty"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86259054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86259054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TransactionsResident/BnkQty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banki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6259054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banki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6259054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86259054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="BnkQty"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TransactionsResident/InsQty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zakłady ubezpieczeń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zakłady ubezpieczeń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="InsQty"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24885077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24885077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TransactionsResident/PnsnFndQty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emerytalne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4885077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emerytalne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4885077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24885077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="PnsnFndQty"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TransactionsResident/InvstFndQty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fundusze inwestycy</w:t>
            </w:r>
            <w:r>
              <w:rPr>
                <w:rStyle w:val="tekst11"/>
                <w:rFonts w:eastAsia="Times New Roman"/>
              </w:rPr>
              <w:t>jne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fundusze inwestycyjne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="InvstFndQty"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664161268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664161268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TransactionsResident/HoushldQty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gospodarstwa domowe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6641612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gospodarstwa domowe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6641612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664161268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="HoushldQty"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TransactionsResident/NonFinCmpQty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przedsiębiorstwa niefinansowe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przedsiębiorstwa niefinansowe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="NonFinCmpQty"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223830353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223830353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TransactionsResident/GovInstQty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instytucje rządowe i samorządowe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22383035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instytucje rządowe i samorządowe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22383035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223830353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="GovInstQty"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TransactionsResident/OthrQty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- inne podmioty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- inne podmioty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="OthrQty"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833175729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833175729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TransactionsResident/TotQty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Łączna liczba papierów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3317572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Łączna liczba papierów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3317572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FinancialInstrumentQuantity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33175729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="TotQty"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="FinancialInstrumentQuantity"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TransactionsResidentNonResident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Liczba papierów z podziałem na rezydentów i nierezydentów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Liczba papierów z podziałem na rezydentów i nierezydentów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TxRsdnt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TxNonRsdnt</w:t>
              </w:r>
            </w:hyperlink>
            <w:r>
              <w:rPr>
                <w:rFonts w:eastAsia="Times New Roman"/>
              </w:rPr>
              <w:t xml:space="preserve">{0,1}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="TransactionsResidentNonResident"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="TxRsdnt"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</w:t>
            </w:r>
            <w:r>
              <w:rPr>
                <w:rStyle w:val="src-element1"/>
                <w:rFonts w:eastAsia="Times New Roman"/>
              </w:rPr>
              <w:t>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="TxNonRsdnt"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028875470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02887547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TransactionsResidentNonResident/TxRsdnt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2887547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- 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2887547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028875470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="TxRsdnt"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TransactionsResidentNonResident/TxNonRsdnt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Transakcje - nierezydenci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Transakcje - nierezydenci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TransactionsNonResident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="TxNonRsdnt"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="TransactionsNonResident"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457064426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51"/>
        <w:gridCol w:w="8005"/>
      </w:tblGrid>
      <w:tr w:rsidR="00000000">
        <w:trPr>
          <w:divId w:val="145706442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semt.tr2.001.04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Status komunikatu dotyczącego papierów Skarbu Państwa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(typ złożony)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57064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Status komunikatu dotyczącego papierów Skarbu Państwa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57064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 xml:space="preserve">Elementy </w:t>
            </w:r>
            <w:r>
              <w:rPr>
                <w:rFonts w:ascii="Arial" w:eastAsia="Times New Roman" w:hAnsi="Arial" w:cs="Arial"/>
                <w:b/>
                <w:bCs/>
                <w:color w:val="6633CC"/>
                <w:sz w:val="20"/>
                <w:szCs w:val="20"/>
              </w:rPr>
              <w:br/>
            </w:r>
            <w:r>
              <w:rPr>
                <w:rStyle w:val="headings1"/>
                <w:rFonts w:eastAsia="Times New Roman"/>
              </w:rPr>
              <w:t xml:space="preserve">składowe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GnlInf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Sts</w:t>
              </w:r>
            </w:hyperlink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hyperlink w:anchor="xs:element{urn:kdpw:xsd:semt.tr2.001.04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StmtForScty</w:t>
              </w:r>
            </w:hyperlink>
            <w:r>
              <w:rPr>
                <w:rFonts w:eastAsia="Times New Roman"/>
              </w:rPr>
              <w:t xml:space="preserve">{0,unbounded} </w:t>
            </w:r>
            <w:r>
              <w:rPr>
                <w:rFonts w:eastAsia="Times New Roman"/>
              </w:rPr>
              <w:br/>
            </w:r>
          </w:p>
        </w:tc>
      </w:tr>
      <w:tr w:rsidR="00000000">
        <w:trPr>
          <w:divId w:val="145706442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lastRenderedPageBreak/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</w:t>
            </w:r>
            <w:r>
              <w:rPr>
                <w:rStyle w:val="src-element1"/>
                <w:rFonts w:eastAsia="Times New Roman"/>
              </w:rPr>
              <w:t>xs:complexType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="semt.tr2.001.04"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&lt;xs:sequence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="GnlInf"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="GeneralInformation"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="Status"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   </w:t>
            </w: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="StmtForScty"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="StatementForSecurity"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>="</w:t>
            </w:r>
            <w:r>
              <w:rPr>
                <w:rFonts w:eastAsia="Times New Roman"/>
              </w:rPr>
              <w:t xml:space="preserve">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t xml:space="preserve">   </w:t>
            </w:r>
            <w:r>
              <w:rPr>
                <w:rStyle w:val="src-element1"/>
                <w:rFonts w:eastAsia="Times New Roman"/>
              </w:rPr>
              <w:t>&lt;/xs:sequence&gt;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>
              <w:rPr>
                <w:rStyle w:val="src-element1"/>
                <w:rFonts w:eastAsia="Times New Roman"/>
              </w:rPr>
              <w:t>&lt;/xs:complexType&gt;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185289702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85289702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semt.tr2.001.04/GnlInf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Informacje ogólne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28970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Blok informacji ogólnych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28970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GeneralInformation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85289702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="GnlInf"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="GeneralInformation"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1457064426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semt.tr2.001.04/Sts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Status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57064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Status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57064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Status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1457064426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="Sts"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="Status"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00000" w:rsidRDefault="00923185">
      <w:pPr>
        <w:divId w:val="925378925"/>
        <w:rPr>
          <w:rFonts w:eastAsia="Times New Roman"/>
          <w:vanish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06"/>
        <w:gridCol w:w="8150"/>
      </w:tblGrid>
      <w:tr w:rsidR="00000000">
        <w:trPr>
          <w:divId w:val="925378925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pStyle w:val="Nagwek3"/>
              <w:rPr>
                <w:rFonts w:eastAsia="Times New Roman"/>
              </w:rPr>
            </w:pPr>
            <w:r>
              <w:rPr>
                <w:rStyle w:val="tekst4"/>
                <w:rFonts w:eastAsia="Times New Roman"/>
              </w:rPr>
              <w:t>semt.tr2.001.04/StmtForScty</w:t>
            </w:r>
            <w:r>
              <w:rPr>
                <w:rStyle w:val="tekst4"/>
                <w:rFonts w:eastAsia="Times New Roman"/>
              </w:rPr>
              <w:t>-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tekst11"/>
                <w:rFonts w:eastAsia="Times New Roman"/>
              </w:rPr>
              <w:t>Zestawienie dla papieru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element1"/>
                <w:rFonts w:eastAsia="Times New Roman"/>
              </w:rPr>
              <w:t>(element)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2537892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Opis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tekst11"/>
                <w:rFonts w:eastAsia="Times New Roman"/>
              </w:rPr>
              <w:t>Zestawienie dla papieru</w:t>
            </w:r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2537892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Typ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hyperlink w:anchor="xs:complexType{urn:kdpw:xsd:semt.tr2.00" w:history="1">
              <w:r>
                <w:rPr>
                  <w:rStyle w:val="Hipercze"/>
                  <w:rFonts w:ascii="Arial" w:eastAsia="Times New Roman" w:hAnsi="Arial" w:cs="Arial"/>
                  <w:b/>
                  <w:bCs/>
                  <w:color w:val="569600"/>
                  <w:u w:val="single"/>
                </w:rPr>
                <w:t>StatementForSecurity</w:t>
              </w:r>
            </w:hyperlink>
            <w:r>
              <w:rPr>
                <w:rFonts w:eastAsia="Times New Roman"/>
              </w:rPr>
              <w:t xml:space="preserve"> </w:t>
            </w:r>
          </w:p>
        </w:tc>
      </w:tr>
      <w:tr w:rsidR="00000000">
        <w:trPr>
          <w:divId w:val="925378925"/>
          <w:tblCellSpacing w:w="0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headings1"/>
                <w:rFonts w:eastAsia="Times New Roman"/>
              </w:rPr>
              <w:t>Źródło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Default="00923185">
            <w:pPr>
              <w:rPr>
                <w:rFonts w:eastAsia="Times New Roman"/>
              </w:rPr>
            </w:pPr>
            <w:r>
              <w:rPr>
                <w:rStyle w:val="src-element1"/>
                <w:rFonts w:eastAsia="Times New Roman"/>
              </w:rPr>
              <w:t>&lt;xs:element</w:t>
            </w:r>
            <w:r>
              <w:rPr>
                <w:rFonts w:eastAsia="Times New Roman"/>
              </w:rPr>
              <w:t xml:space="preserve"> </w:t>
            </w:r>
            <w:r>
              <w:rPr>
                <w:rStyle w:val="src-attribute1"/>
                <w:rFonts w:eastAsia="Times New Roman"/>
              </w:rPr>
              <w:t>name</w:t>
            </w:r>
            <w:r>
              <w:rPr>
                <w:rFonts w:eastAsia="Times New Roman"/>
              </w:rPr>
              <w:t xml:space="preserve">="StmtForScty" </w:t>
            </w:r>
            <w:r>
              <w:rPr>
                <w:rStyle w:val="src-attribute1"/>
                <w:rFonts w:eastAsia="Times New Roman"/>
              </w:rPr>
              <w:t>type</w:t>
            </w:r>
            <w:r>
              <w:rPr>
                <w:rFonts w:eastAsia="Times New Roman"/>
              </w:rPr>
              <w:t xml:space="preserve">="StatementForSecurity" </w:t>
            </w:r>
            <w:r>
              <w:rPr>
                <w:rStyle w:val="src-attribute1"/>
                <w:rFonts w:eastAsia="Times New Roman"/>
              </w:rPr>
              <w:t>minOccurs</w:t>
            </w:r>
            <w:r>
              <w:rPr>
                <w:rFonts w:eastAsia="Times New Roman"/>
              </w:rPr>
              <w:t xml:space="preserve">="0" </w:t>
            </w:r>
            <w:r>
              <w:rPr>
                <w:rStyle w:val="src-attribute1"/>
                <w:rFonts w:eastAsia="Times New Roman"/>
              </w:rPr>
              <w:t>maxOccurs</w:t>
            </w:r>
            <w:r>
              <w:rPr>
                <w:rFonts w:eastAsia="Times New Roman"/>
              </w:rPr>
              <w:t xml:space="preserve">="unbounded" </w:t>
            </w:r>
            <w:r>
              <w:rPr>
                <w:rStyle w:val="src-element1"/>
                <w:rFonts w:eastAsia="Times New Roman"/>
              </w:rPr>
              <w:t>/&gt;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923185" w:rsidRDefault="00923185">
      <w:pPr>
        <w:divId w:val="925378925"/>
        <w:rPr>
          <w:rFonts w:eastAsia="Times New Roman"/>
        </w:rPr>
      </w:pPr>
    </w:p>
    <w:sectPr w:rsidR="009231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B59"/>
    <w:rsid w:val="00923185"/>
    <w:rsid w:val="00A4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8924B8-F101-4453-8046-F14047FB0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Pr>
      <w:strike w:val="0"/>
      <w:dstrike w:val="0"/>
      <w:color w:val="300B66"/>
      <w:sz w:val="18"/>
      <w:szCs w:val="18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Pr>
      <w:strike w:val="0"/>
      <w:dstrike w:val="0"/>
      <w:color w:val="300B66"/>
      <w:sz w:val="18"/>
      <w:szCs w:val="18"/>
      <w:u w:val="none"/>
      <w:effect w:val="non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Normalny"/>
    <w:pPr>
      <w:spacing w:before="100" w:beforeAutospacing="1" w:after="100" w:afterAutospacing="1"/>
    </w:pPr>
  </w:style>
  <w:style w:type="paragraph" w:customStyle="1" w:styleId="src-attribute">
    <w:name w:val="src-attribute"/>
    <w:basedOn w:val="Normalny"/>
    <w:pPr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src-element">
    <w:name w:val="src-element"/>
    <w:basedOn w:val="Normalny"/>
    <w:pPr>
      <w:spacing w:before="100" w:beforeAutospacing="1" w:after="100" w:afterAutospacing="1"/>
    </w:pPr>
    <w:rPr>
      <w:rFonts w:ascii="Arial" w:hAnsi="Arial" w:cs="Arial"/>
      <w:color w:val="800000"/>
      <w:sz w:val="16"/>
      <w:szCs w:val="16"/>
    </w:rPr>
  </w:style>
  <w:style w:type="paragraph" w:customStyle="1" w:styleId="tableheader">
    <w:name w:val="tableheader"/>
    <w:basedOn w:val="Normalny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customStyle="1" w:styleId="tableheader2">
    <w:name w:val="tableheader2"/>
    <w:basedOn w:val="Normalny"/>
    <w:pPr>
      <w:spacing w:before="100" w:beforeAutospacing="1" w:after="100" w:afterAutospacing="1"/>
    </w:pPr>
    <w:rPr>
      <w:rFonts w:ascii="Arial" w:hAnsi="Arial" w:cs="Arial"/>
      <w:color w:val="000000"/>
      <w:sz w:val="22"/>
      <w:szCs w:val="22"/>
    </w:rPr>
  </w:style>
  <w:style w:type="paragraph" w:customStyle="1" w:styleId="tableheader3">
    <w:name w:val="tableheader3"/>
    <w:basedOn w:val="Normalny"/>
    <w:pPr>
      <w:spacing w:before="100" w:beforeAutospacing="1" w:after="100" w:afterAutospacing="1"/>
    </w:pPr>
    <w:rPr>
      <w:rFonts w:ascii="Arial" w:hAnsi="Arial" w:cs="Arial"/>
      <w:color w:val="000000"/>
      <w:sz w:val="22"/>
      <w:szCs w:val="22"/>
    </w:rPr>
  </w:style>
  <w:style w:type="paragraph" w:customStyle="1" w:styleId="headings">
    <w:name w:val="headings"/>
    <w:basedOn w:val="Normalny"/>
    <w:pPr>
      <w:spacing w:before="100" w:beforeAutospacing="1" w:after="100" w:afterAutospacing="1"/>
    </w:pPr>
    <w:rPr>
      <w:rFonts w:ascii="Arial" w:hAnsi="Arial" w:cs="Arial"/>
      <w:b/>
      <w:bCs/>
      <w:color w:val="6633CC"/>
      <w:sz w:val="20"/>
      <w:szCs w:val="20"/>
    </w:rPr>
  </w:style>
  <w:style w:type="paragraph" w:customStyle="1" w:styleId="head1">
    <w:name w:val="head1"/>
    <w:basedOn w:val="Normalny"/>
    <w:pPr>
      <w:shd w:val="clear" w:color="auto" w:fill="E9E7EE"/>
      <w:spacing w:before="100" w:beforeAutospacing="1" w:after="100" w:afterAutospacing="1"/>
    </w:pPr>
    <w:rPr>
      <w:rFonts w:ascii="Arial" w:hAnsi="Arial" w:cs="Arial"/>
      <w:b/>
      <w:bCs/>
      <w:color w:val="300B66"/>
      <w:sz w:val="21"/>
      <w:szCs w:val="21"/>
    </w:rPr>
  </w:style>
  <w:style w:type="paragraph" w:customStyle="1" w:styleId="head2">
    <w:name w:val="head2"/>
    <w:basedOn w:val="Normalny"/>
    <w:pPr>
      <w:shd w:val="clear" w:color="auto" w:fill="E9E7EE"/>
      <w:spacing w:before="100" w:beforeAutospacing="1" w:after="100" w:afterAutospacing="1"/>
    </w:pPr>
    <w:rPr>
      <w:rFonts w:ascii="Arial" w:hAnsi="Arial" w:cs="Arial"/>
      <w:b/>
      <w:bCs/>
      <w:color w:val="300B66"/>
      <w:sz w:val="18"/>
      <w:szCs w:val="18"/>
    </w:rPr>
  </w:style>
  <w:style w:type="paragraph" w:customStyle="1" w:styleId="head3">
    <w:name w:val="head3"/>
    <w:basedOn w:val="Normalny"/>
    <w:pPr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menu1">
    <w:name w:val="menu1"/>
    <w:basedOn w:val="Normalny"/>
    <w:pPr>
      <w:spacing w:before="100" w:beforeAutospacing="1" w:after="100" w:afterAutospacing="1"/>
    </w:pPr>
    <w:rPr>
      <w:rFonts w:ascii="Arial" w:hAnsi="Arial" w:cs="Arial"/>
      <w:b/>
      <w:bCs/>
      <w:color w:val="300B66"/>
      <w:sz w:val="27"/>
      <w:szCs w:val="27"/>
    </w:rPr>
  </w:style>
  <w:style w:type="paragraph" w:customStyle="1" w:styleId="menu2">
    <w:name w:val="menu2"/>
    <w:basedOn w:val="Normalny"/>
    <w:pPr>
      <w:spacing w:before="100" w:beforeAutospacing="1" w:after="100" w:afterAutospacing="1"/>
    </w:pPr>
    <w:rPr>
      <w:rFonts w:ascii="Arial" w:hAnsi="Arial" w:cs="Arial"/>
      <w:b/>
      <w:bCs/>
      <w:color w:val="300B66"/>
    </w:rPr>
  </w:style>
  <w:style w:type="paragraph" w:customStyle="1" w:styleId="menu3">
    <w:name w:val="menu3"/>
    <w:basedOn w:val="Normalny"/>
    <w:pPr>
      <w:spacing w:before="100" w:beforeAutospacing="1" w:after="100" w:afterAutospacing="1"/>
    </w:pPr>
    <w:rPr>
      <w:rFonts w:ascii="Arial" w:hAnsi="Arial" w:cs="Arial"/>
      <w:b/>
      <w:bCs/>
      <w:color w:val="300B66"/>
      <w:sz w:val="21"/>
      <w:szCs w:val="21"/>
    </w:rPr>
  </w:style>
  <w:style w:type="paragraph" w:customStyle="1" w:styleId="menuheading">
    <w:name w:val="menu_heading"/>
    <w:basedOn w:val="Normalny"/>
    <w:pPr>
      <w:pBdr>
        <w:top w:val="single" w:sz="6" w:space="0" w:color="FFFFFF"/>
        <w:bottom w:val="single" w:sz="6" w:space="0" w:color="FFFFFF"/>
        <w:right w:val="single" w:sz="6" w:space="0" w:color="FFFFFF"/>
      </w:pBdr>
      <w:shd w:val="clear" w:color="auto" w:fill="9287A9"/>
      <w:spacing w:before="100" w:beforeAutospacing="1" w:after="100" w:afterAutospacing="1"/>
      <w:jc w:val="center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menuheadingh">
    <w:name w:val="menu_headingh"/>
    <w:basedOn w:val="Normalny"/>
    <w:pPr>
      <w:pBdr>
        <w:top w:val="single" w:sz="6" w:space="0" w:color="FFFFFF"/>
        <w:bottom w:val="single" w:sz="6" w:space="0" w:color="FFFFFF"/>
        <w:right w:val="single" w:sz="6" w:space="0" w:color="FFFFFF"/>
      </w:pBdr>
      <w:shd w:val="clear" w:color="auto" w:fill="300B66"/>
      <w:spacing w:before="100" w:beforeAutospacing="1" w:after="100" w:afterAutospacing="1"/>
      <w:jc w:val="center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menupod">
    <w:name w:val="menu_pod"/>
    <w:basedOn w:val="Normalny"/>
    <w:pPr>
      <w:spacing w:before="100" w:beforeAutospacing="1" w:after="100" w:afterAutospacing="1"/>
    </w:pPr>
    <w:rPr>
      <w:color w:val="569600"/>
      <w:sz w:val="17"/>
      <w:szCs w:val="17"/>
    </w:rPr>
  </w:style>
  <w:style w:type="paragraph" w:customStyle="1" w:styleId="tabelaheading275">
    <w:name w:val="tabela_heading275"/>
    <w:basedOn w:val="Normalny"/>
    <w:pPr>
      <w:pBdr>
        <w:top w:val="single" w:sz="6" w:space="0" w:color="9287A9"/>
        <w:bottom w:val="single" w:sz="6" w:space="0" w:color="9287A9"/>
      </w:pBdr>
      <w:shd w:val="clear" w:color="auto" w:fill="C9C3D3"/>
      <w:spacing w:before="100" w:beforeAutospacing="1" w:after="100" w:afterAutospacing="1"/>
    </w:pPr>
    <w:rPr>
      <w:rFonts w:ascii="Arial" w:hAnsi="Arial" w:cs="Arial"/>
      <w:b/>
      <w:bCs/>
      <w:color w:val="300B66"/>
      <w:sz w:val="18"/>
      <w:szCs w:val="18"/>
    </w:rPr>
  </w:style>
  <w:style w:type="paragraph" w:customStyle="1" w:styleId="tabelaheading376">
    <w:name w:val="tabela_heading376"/>
    <w:basedOn w:val="Normalny"/>
    <w:pPr>
      <w:pBdr>
        <w:top w:val="single" w:sz="6" w:space="0" w:color="BFDD7F"/>
        <w:bottom w:val="single" w:sz="6" w:space="0" w:color="BFDD7F"/>
      </w:pBdr>
      <w:shd w:val="clear" w:color="auto" w:fill="DFEEBF"/>
      <w:spacing w:before="100" w:beforeAutospacing="1" w:after="100" w:afterAutospacing="1"/>
    </w:pPr>
    <w:rPr>
      <w:rFonts w:ascii="Arial" w:hAnsi="Arial" w:cs="Arial"/>
      <w:b/>
      <w:bCs/>
      <w:color w:val="569600"/>
      <w:sz w:val="18"/>
      <w:szCs w:val="18"/>
    </w:rPr>
  </w:style>
  <w:style w:type="paragraph" w:customStyle="1" w:styleId="tabelaheading192">
    <w:name w:val="tabela_heading192"/>
    <w:basedOn w:val="Normalny"/>
    <w:pPr>
      <w:pBdr>
        <w:top w:val="single" w:sz="6" w:space="0" w:color="F2829C"/>
        <w:bottom w:val="single" w:sz="6" w:space="0" w:color="F2829C"/>
      </w:pBdr>
      <w:shd w:val="clear" w:color="auto" w:fill="F9C1CE"/>
      <w:spacing w:before="100" w:beforeAutospacing="1" w:after="100" w:afterAutospacing="1"/>
    </w:pPr>
    <w:rPr>
      <w:rFonts w:ascii="Arial" w:hAnsi="Arial" w:cs="Arial"/>
      <w:b/>
      <w:bCs/>
      <w:color w:val="E6063A"/>
      <w:sz w:val="18"/>
      <w:szCs w:val="18"/>
    </w:rPr>
  </w:style>
  <w:style w:type="paragraph" w:customStyle="1" w:styleId="tabelaitem">
    <w:name w:val="tabela_item"/>
    <w:basedOn w:val="Normalny"/>
    <w:pPr>
      <w:pBdr>
        <w:bottom w:val="single" w:sz="6" w:space="1" w:color="C9C3D3"/>
      </w:pBdr>
      <w:shd w:val="clear" w:color="auto" w:fill="F0F0F0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iteminactive">
    <w:name w:val="tabela_item_inactive"/>
    <w:basedOn w:val="Normalny"/>
    <w:pPr>
      <w:pBdr>
        <w:bottom w:val="single" w:sz="6" w:space="1" w:color="C9C3D3"/>
      </w:pBdr>
      <w:shd w:val="clear" w:color="auto" w:fill="F0F0F0"/>
      <w:spacing w:before="100" w:beforeAutospacing="1" w:after="100" w:afterAutospacing="1"/>
    </w:pPr>
    <w:rPr>
      <w:rFonts w:ascii="Arial" w:hAnsi="Arial" w:cs="Arial"/>
      <w:color w:val="888888"/>
      <w:sz w:val="18"/>
      <w:szCs w:val="18"/>
    </w:rPr>
  </w:style>
  <w:style w:type="paragraph" w:customStyle="1" w:styleId="tabelaitem2">
    <w:name w:val="tabela_item2"/>
    <w:basedOn w:val="Normalny"/>
    <w:pPr>
      <w:pBdr>
        <w:bottom w:val="single" w:sz="6" w:space="1" w:color="C9C3D3"/>
      </w:pBdr>
      <w:shd w:val="clear" w:color="auto" w:fill="F2F8E5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item3">
    <w:name w:val="tabela_item3"/>
    <w:basedOn w:val="Normalny"/>
    <w:pPr>
      <w:pBdr>
        <w:bottom w:val="single" w:sz="6" w:space="1" w:color="F2829C"/>
      </w:pBdr>
      <w:shd w:val="clear" w:color="auto" w:fill="F9C1CE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item4">
    <w:name w:val="tabela_item4"/>
    <w:basedOn w:val="Normalny"/>
    <w:pPr>
      <w:pBdr>
        <w:bottom w:val="single" w:sz="6" w:space="5" w:color="C9C3D3"/>
      </w:pBdr>
      <w:shd w:val="clear" w:color="auto" w:fill="F0F0F0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item2h">
    <w:name w:val="tabela_item2h"/>
    <w:basedOn w:val="Normalny"/>
    <w:pPr>
      <w:pBdr>
        <w:bottom w:val="single" w:sz="6" w:space="1" w:color="C9C3D3"/>
      </w:pBdr>
      <w:shd w:val="clear" w:color="auto" w:fill="E9E7EE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itemh">
    <w:name w:val="tabela_itemh"/>
    <w:basedOn w:val="Normalny"/>
    <w:pPr>
      <w:pBdr>
        <w:bottom w:val="single" w:sz="6" w:space="1" w:color="C9C3D3"/>
      </w:pBdr>
      <w:shd w:val="clear" w:color="auto" w:fill="F2F8E5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item4h">
    <w:name w:val="tabela_item4h"/>
    <w:basedOn w:val="Normalny"/>
    <w:pPr>
      <w:pBdr>
        <w:bottom w:val="single" w:sz="6" w:space="5" w:color="C9C3D3"/>
      </w:pBdr>
      <w:shd w:val="clear" w:color="auto" w:fill="F2F8E5"/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abelaramka">
    <w:name w:val="tabela_ramka"/>
    <w:basedOn w:val="Normalny"/>
    <w:pPr>
      <w:pBdr>
        <w:top w:val="single" w:sz="6" w:space="0" w:color="C9C3D3"/>
        <w:left w:val="single" w:sz="6" w:space="0" w:color="C9C3D3"/>
        <w:bottom w:val="single" w:sz="6" w:space="0" w:color="C9C3D3"/>
        <w:right w:val="single" w:sz="6" w:space="0" w:color="C9C3D3"/>
      </w:pBdr>
      <w:shd w:val="clear" w:color="auto" w:fill="F5F5F5"/>
      <w:spacing w:before="100" w:beforeAutospacing="1" w:after="100" w:afterAutospacing="1"/>
    </w:pPr>
  </w:style>
  <w:style w:type="paragraph" w:customStyle="1" w:styleId="tabelaramka2">
    <w:name w:val="tabela_ramka2"/>
    <w:basedOn w:val="Normalny"/>
    <w:pPr>
      <w:pBdr>
        <w:top w:val="single" w:sz="6" w:space="0" w:color="BFDD7F"/>
        <w:left w:val="single" w:sz="6" w:space="0" w:color="BFDD7F"/>
        <w:bottom w:val="single" w:sz="6" w:space="0" w:color="BFDD7F"/>
        <w:right w:val="single" w:sz="6" w:space="0" w:color="BFDD7F"/>
      </w:pBdr>
      <w:shd w:val="clear" w:color="auto" w:fill="F2F8E5"/>
      <w:spacing w:before="100" w:beforeAutospacing="1" w:after="100" w:afterAutospacing="1"/>
    </w:pPr>
  </w:style>
  <w:style w:type="paragraph" w:customStyle="1" w:styleId="tabelaramkalp">
    <w:name w:val="tabela_ramkalp"/>
    <w:basedOn w:val="Normalny"/>
    <w:pPr>
      <w:pBdr>
        <w:top w:val="single" w:sz="2" w:space="0" w:color="C9C3D3"/>
        <w:left w:val="single" w:sz="6" w:space="0" w:color="C9C3D3"/>
        <w:bottom w:val="single" w:sz="2" w:space="0" w:color="C9C3D3"/>
        <w:right w:val="single" w:sz="6" w:space="0" w:color="C9C3D3"/>
      </w:pBdr>
      <w:shd w:val="clear" w:color="auto" w:fill="F5F5F5"/>
      <w:spacing w:before="100" w:beforeAutospacing="1" w:after="100" w:afterAutospacing="1"/>
    </w:pPr>
  </w:style>
  <w:style w:type="paragraph" w:customStyle="1" w:styleId="tabelaramkalp2">
    <w:name w:val="tabela_ramkalp2"/>
    <w:basedOn w:val="Normalny"/>
    <w:pPr>
      <w:pBdr>
        <w:top w:val="single" w:sz="2" w:space="0" w:color="BFDD7F"/>
        <w:left w:val="single" w:sz="6" w:space="0" w:color="BFDD7F"/>
        <w:bottom w:val="single" w:sz="2" w:space="0" w:color="BFDD7F"/>
        <w:right w:val="single" w:sz="6" w:space="0" w:color="BFDD7F"/>
      </w:pBdr>
      <w:shd w:val="clear" w:color="auto" w:fill="F2F8E5"/>
      <w:spacing w:before="100" w:beforeAutospacing="1" w:after="100" w:afterAutospacing="1"/>
    </w:pPr>
  </w:style>
  <w:style w:type="paragraph" w:customStyle="1" w:styleId="tekst2">
    <w:name w:val="tekst2"/>
    <w:basedOn w:val="Normalny"/>
    <w:pPr>
      <w:spacing w:before="100" w:beforeAutospacing="1" w:after="100" w:afterAutospacing="1"/>
    </w:pPr>
    <w:rPr>
      <w:rFonts w:ascii="Arial" w:hAnsi="Arial" w:cs="Arial"/>
      <w:color w:val="300B66"/>
      <w:sz w:val="17"/>
      <w:szCs w:val="17"/>
    </w:rPr>
  </w:style>
  <w:style w:type="paragraph" w:customStyle="1" w:styleId="tekst3">
    <w:name w:val="tekst3"/>
    <w:basedOn w:val="Normalny"/>
    <w:pPr>
      <w:spacing w:before="100" w:beforeAutospacing="1" w:after="100" w:afterAutospacing="1"/>
    </w:pPr>
    <w:rPr>
      <w:rFonts w:ascii="Arial" w:hAnsi="Arial" w:cs="Arial"/>
      <w:color w:val="300B66"/>
      <w:sz w:val="17"/>
      <w:szCs w:val="17"/>
    </w:rPr>
  </w:style>
  <w:style w:type="paragraph" w:customStyle="1" w:styleId="tekst">
    <w:name w:val="tekst"/>
    <w:basedOn w:val="Normalny"/>
    <w:pPr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ekst1">
    <w:name w:val="tekst1"/>
    <w:basedOn w:val="Normalny"/>
    <w:pPr>
      <w:spacing w:before="100" w:beforeAutospacing="1" w:after="100" w:afterAutospacing="1"/>
    </w:pPr>
    <w:rPr>
      <w:rFonts w:ascii="Arial" w:hAnsi="Arial" w:cs="Arial"/>
      <w:color w:val="300B66"/>
      <w:sz w:val="21"/>
      <w:szCs w:val="21"/>
    </w:rPr>
  </w:style>
  <w:style w:type="paragraph" w:customStyle="1" w:styleId="isin">
    <w:name w:val="isin"/>
    <w:basedOn w:val="Normalny"/>
    <w:pPr>
      <w:spacing w:before="100" w:beforeAutospacing="1" w:after="100" w:afterAutospacing="1"/>
    </w:pPr>
    <w:rPr>
      <w:rFonts w:ascii="Courier New" w:hAnsi="Courier New" w:cs="Courier New"/>
      <w:b/>
      <w:bCs/>
      <w:color w:val="300B66"/>
      <w:sz w:val="18"/>
      <w:szCs w:val="18"/>
    </w:rPr>
  </w:style>
  <w:style w:type="paragraph" w:customStyle="1" w:styleId="inputbutton">
    <w:name w:val="inputbutton"/>
    <w:basedOn w:val="Normalny"/>
    <w:pPr>
      <w:pBdr>
        <w:top w:val="single" w:sz="6" w:space="0" w:color="B0B0B0"/>
        <w:left w:val="single" w:sz="6" w:space="0" w:color="B0B0B0"/>
        <w:bottom w:val="single" w:sz="6" w:space="0" w:color="B0B0B0"/>
        <w:right w:val="single" w:sz="6" w:space="0" w:color="B0B0B0"/>
      </w:pBdr>
      <w:shd w:val="clear" w:color="auto" w:fill="9287A9"/>
      <w:spacing w:before="100" w:beforeAutospacing="1" w:after="100" w:afterAutospacing="1"/>
    </w:pPr>
    <w:rPr>
      <w:b/>
      <w:bCs/>
      <w:color w:val="FFFFFF"/>
    </w:rPr>
  </w:style>
  <w:style w:type="paragraph" w:customStyle="1" w:styleId="inputbuttonmouseover">
    <w:name w:val="inputbuttonmouseover"/>
    <w:basedOn w:val="Normalny"/>
    <w:pPr>
      <w:pBdr>
        <w:top w:val="single" w:sz="6" w:space="0" w:color="425A86"/>
        <w:left w:val="single" w:sz="6" w:space="0" w:color="425A86"/>
        <w:bottom w:val="single" w:sz="6" w:space="0" w:color="425A86"/>
        <w:right w:val="single" w:sz="6" w:space="0" w:color="425A86"/>
      </w:pBdr>
      <w:shd w:val="clear" w:color="auto" w:fill="300B66"/>
      <w:spacing w:before="100" w:beforeAutospacing="1" w:after="100" w:afterAutospacing="1"/>
    </w:pPr>
    <w:rPr>
      <w:b/>
      <w:bCs/>
      <w:color w:val="FFFFFF"/>
    </w:rPr>
  </w:style>
  <w:style w:type="paragraph" w:customStyle="1" w:styleId="tekstred">
    <w:name w:val="tekstred"/>
    <w:basedOn w:val="Normalny"/>
    <w:pPr>
      <w:spacing w:before="100" w:beforeAutospacing="1" w:after="100" w:afterAutospacing="1"/>
    </w:pPr>
    <w:rPr>
      <w:rFonts w:ascii="Arial" w:hAnsi="Arial" w:cs="Arial"/>
      <w:color w:val="FF0000"/>
      <w:sz w:val="18"/>
      <w:szCs w:val="18"/>
    </w:rPr>
  </w:style>
  <w:style w:type="paragraph" w:customStyle="1" w:styleId="tekstgreen9">
    <w:name w:val="tekstgreen9"/>
    <w:basedOn w:val="Normalny"/>
    <w:pPr>
      <w:spacing w:before="100" w:beforeAutospacing="1" w:after="100" w:afterAutospacing="1"/>
    </w:pPr>
    <w:rPr>
      <w:rFonts w:ascii="Arial" w:hAnsi="Arial" w:cs="Arial"/>
      <w:color w:val="408020"/>
      <w:sz w:val="14"/>
      <w:szCs w:val="14"/>
    </w:rPr>
  </w:style>
  <w:style w:type="paragraph" w:customStyle="1" w:styleId="tekstplr10">
    <w:name w:val="tekstplr10"/>
    <w:basedOn w:val="Normalny"/>
    <w:pPr>
      <w:spacing w:before="100" w:beforeAutospacing="1" w:after="100" w:afterAutospacing="1"/>
    </w:pPr>
    <w:rPr>
      <w:rFonts w:ascii="Arial" w:hAnsi="Arial" w:cs="Arial"/>
      <w:color w:val="300B66"/>
      <w:sz w:val="18"/>
      <w:szCs w:val="18"/>
    </w:rPr>
  </w:style>
  <w:style w:type="paragraph" w:customStyle="1" w:styleId="themexptreelevel0">
    <w:name w:val="themexptreelevel0"/>
    <w:basedOn w:val="Normalny"/>
    <w:pPr>
      <w:shd w:val="clear" w:color="auto" w:fill="FFFFFF"/>
      <w:spacing w:before="100" w:beforeAutospacing="1" w:after="100" w:afterAutospacing="1"/>
    </w:pPr>
  </w:style>
  <w:style w:type="paragraph" w:customStyle="1" w:styleId="themexptreelevel1">
    <w:name w:val="themexptreelevel1"/>
    <w:basedOn w:val="Normalny"/>
    <w:pPr>
      <w:shd w:val="clear" w:color="auto" w:fill="FFFFFF"/>
      <w:spacing w:before="100" w:beforeAutospacing="1" w:after="100" w:afterAutospacing="1"/>
    </w:pPr>
    <w:rPr>
      <w:vanish/>
    </w:rPr>
  </w:style>
  <w:style w:type="paragraph" w:customStyle="1" w:styleId="themexptable">
    <w:name w:val="themexptable"/>
    <w:basedOn w:val="Normalny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themexprow">
    <w:name w:val="themexprow"/>
    <w:basedOn w:val="Normalny"/>
    <w:pPr>
      <w:spacing w:before="100" w:beforeAutospacing="1" w:after="100" w:afterAutospacing="1"/>
    </w:pPr>
  </w:style>
  <w:style w:type="paragraph" w:customStyle="1" w:styleId="themexprowhover">
    <w:name w:val="themexprowhover"/>
    <w:basedOn w:val="Normalny"/>
    <w:pPr>
      <w:spacing w:before="100" w:beforeAutospacing="1" w:after="100" w:afterAutospacing="1"/>
    </w:pPr>
  </w:style>
  <w:style w:type="paragraph" w:customStyle="1" w:styleId="themexprowactive">
    <w:name w:val="themexprowactive"/>
    <w:basedOn w:val="Normalny"/>
    <w:pPr>
      <w:spacing w:before="100" w:beforeAutospacing="1" w:after="100" w:afterAutospacing="1"/>
    </w:pPr>
  </w:style>
  <w:style w:type="paragraph" w:customStyle="1" w:styleId="themexprowselected">
    <w:name w:val="themexprowselected"/>
    <w:basedOn w:val="Normalny"/>
    <w:pPr>
      <w:spacing w:before="100" w:beforeAutospacing="1" w:after="100" w:afterAutospacing="1"/>
    </w:pPr>
  </w:style>
  <w:style w:type="paragraph" w:customStyle="1" w:styleId="themexpfolderspacer">
    <w:name w:val="themexpfolderspacer"/>
    <w:basedOn w:val="Normalny"/>
    <w:pPr>
      <w:spacing w:before="100" w:beforeAutospacing="1" w:after="100" w:afterAutospacing="1"/>
    </w:pPr>
  </w:style>
  <w:style w:type="paragraph" w:customStyle="1" w:styleId="themexpitemspacer">
    <w:name w:val="themexpitemspacer"/>
    <w:basedOn w:val="Normalny"/>
    <w:pPr>
      <w:spacing w:before="100" w:beforeAutospacing="1" w:after="100" w:afterAutospacing="1"/>
    </w:pPr>
  </w:style>
  <w:style w:type="paragraph" w:customStyle="1" w:styleId="themexpfolderleft">
    <w:name w:val="themexpfolderleft"/>
    <w:basedOn w:val="Normalny"/>
    <w:pPr>
      <w:spacing w:before="100" w:beforeAutospacing="1" w:after="100" w:afterAutospacing="1"/>
    </w:pPr>
  </w:style>
  <w:style w:type="paragraph" w:customStyle="1" w:styleId="themexpitemleft">
    <w:name w:val="themexpitemleft"/>
    <w:basedOn w:val="Normalny"/>
    <w:pPr>
      <w:spacing w:before="100" w:beforeAutospacing="1" w:after="100" w:afterAutospacing="1"/>
    </w:pPr>
  </w:style>
  <w:style w:type="paragraph" w:customStyle="1" w:styleId="themexpfoldertext">
    <w:name w:val="themexpfoldertext"/>
    <w:basedOn w:val="Normalny"/>
    <w:pPr>
      <w:spacing w:before="100" w:beforeAutospacing="1" w:after="100" w:afterAutospacing="1"/>
    </w:pPr>
  </w:style>
  <w:style w:type="paragraph" w:customStyle="1" w:styleId="themexpitemtext">
    <w:name w:val="themexpitemtext"/>
    <w:basedOn w:val="Normalny"/>
    <w:pPr>
      <w:spacing w:before="100" w:beforeAutospacing="1" w:after="100" w:afterAutospacing="1"/>
    </w:pPr>
  </w:style>
  <w:style w:type="paragraph" w:customStyle="1" w:styleId="themexpfolderright">
    <w:name w:val="themexpfolderright"/>
    <w:basedOn w:val="Normalny"/>
    <w:pPr>
      <w:spacing w:before="100" w:beforeAutospacing="1" w:after="100" w:afterAutospacing="1"/>
    </w:pPr>
  </w:style>
  <w:style w:type="paragraph" w:customStyle="1" w:styleId="themexpitemright">
    <w:name w:val="themexpitemright"/>
    <w:basedOn w:val="Normalny"/>
    <w:pPr>
      <w:spacing w:before="100" w:beforeAutospacing="1" w:after="100" w:afterAutospacing="1"/>
    </w:pPr>
  </w:style>
  <w:style w:type="paragraph" w:customStyle="1" w:styleId="jscooktreefolderopen">
    <w:name w:val="jscooktreefolderopen"/>
    <w:basedOn w:val="Normalny"/>
    <w:pPr>
      <w:spacing w:before="100" w:beforeAutospacing="1" w:after="100" w:afterAutospacing="1"/>
    </w:pPr>
  </w:style>
  <w:style w:type="paragraph" w:customStyle="1" w:styleId="jscooktreefolderclosed">
    <w:name w:val="jscooktreefolderclosed"/>
    <w:basedOn w:val="Normalny"/>
    <w:pPr>
      <w:spacing w:before="100" w:beforeAutospacing="1" w:after="100" w:afterAutospacing="1"/>
    </w:pPr>
  </w:style>
  <w:style w:type="paragraph" w:customStyle="1" w:styleId="jscooktreefolderopen1">
    <w:name w:val="jscooktreefolderopen1"/>
    <w:basedOn w:val="Normalny"/>
    <w:pPr>
      <w:spacing w:before="100" w:beforeAutospacing="1" w:after="100" w:afterAutospacing="1"/>
    </w:pPr>
    <w:rPr>
      <w:vanish/>
    </w:rPr>
  </w:style>
  <w:style w:type="paragraph" w:customStyle="1" w:styleId="jscooktreefolderclosed1">
    <w:name w:val="jscooktreefolderclosed1"/>
    <w:basedOn w:val="Normalny"/>
    <w:pPr>
      <w:spacing w:before="100" w:beforeAutospacing="1" w:after="100" w:afterAutospacing="1"/>
    </w:pPr>
    <w:rPr>
      <w:vanish/>
    </w:rPr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/>
    </w:pPr>
  </w:style>
  <w:style w:type="character" w:customStyle="1" w:styleId="firstpage">
    <w:name w:val="firstpage"/>
    <w:basedOn w:val="Domylnaczcionkaakapitu"/>
  </w:style>
  <w:style w:type="character" w:customStyle="1" w:styleId="menu11">
    <w:name w:val="menu11"/>
    <w:basedOn w:val="Domylnaczcionkaakapitu"/>
    <w:rPr>
      <w:rFonts w:ascii="Arial" w:hAnsi="Arial" w:cs="Arial" w:hint="default"/>
      <w:b/>
      <w:bCs/>
      <w:color w:val="300B66"/>
      <w:sz w:val="27"/>
      <w:szCs w:val="27"/>
    </w:rPr>
  </w:style>
  <w:style w:type="character" w:customStyle="1" w:styleId="tekst11">
    <w:name w:val="tekst11"/>
    <w:basedOn w:val="Domylnaczcionkaakapitu"/>
    <w:rPr>
      <w:rFonts w:ascii="Arial" w:hAnsi="Arial" w:cs="Arial" w:hint="default"/>
      <w:color w:val="300B66"/>
      <w:sz w:val="21"/>
      <w:szCs w:val="21"/>
    </w:rPr>
  </w:style>
  <w:style w:type="character" w:customStyle="1" w:styleId="menu21">
    <w:name w:val="menu21"/>
    <w:basedOn w:val="Domylnaczcionkaakapitu"/>
    <w:rPr>
      <w:rFonts w:ascii="Arial" w:hAnsi="Arial" w:cs="Arial" w:hint="default"/>
      <w:b/>
      <w:bCs/>
      <w:color w:val="300B66"/>
      <w:sz w:val="24"/>
      <w:szCs w:val="24"/>
    </w:rPr>
  </w:style>
  <w:style w:type="character" w:customStyle="1" w:styleId="opis">
    <w:name w:val="opis"/>
    <w:basedOn w:val="Domylnaczcionkaakapitu"/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src-element1">
    <w:name w:val="src-element1"/>
    <w:basedOn w:val="Domylnaczcionkaakapitu"/>
    <w:rPr>
      <w:rFonts w:ascii="Arial" w:hAnsi="Arial" w:cs="Arial" w:hint="default"/>
      <w:color w:val="800000"/>
      <w:sz w:val="16"/>
      <w:szCs w:val="16"/>
    </w:rPr>
  </w:style>
  <w:style w:type="character" w:customStyle="1" w:styleId="tekst4">
    <w:name w:val="tekst4"/>
    <w:basedOn w:val="Domylnaczcionkaakapitu"/>
    <w:rPr>
      <w:rFonts w:ascii="Arial" w:hAnsi="Arial" w:cs="Arial" w:hint="default"/>
      <w:color w:val="300B66"/>
      <w:sz w:val="18"/>
      <w:szCs w:val="18"/>
    </w:rPr>
  </w:style>
  <w:style w:type="character" w:customStyle="1" w:styleId="headings1">
    <w:name w:val="headings1"/>
    <w:basedOn w:val="Domylnaczcionkaakapitu"/>
    <w:rPr>
      <w:rFonts w:ascii="Arial" w:hAnsi="Arial" w:cs="Arial" w:hint="default"/>
      <w:b/>
      <w:bCs/>
      <w:color w:val="6633CC"/>
      <w:sz w:val="20"/>
      <w:szCs w:val="20"/>
    </w:rPr>
  </w:style>
  <w:style w:type="character" w:customStyle="1" w:styleId="src-attribute1">
    <w:name w:val="src-attribute1"/>
    <w:basedOn w:val="Domylnaczcionkaakapitu"/>
    <w:rPr>
      <w:rFonts w:ascii="Arial" w:hAnsi="Arial" w:cs="Arial" w:hint="default"/>
      <w:color w:val="FF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66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8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4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6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850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5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64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66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0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5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3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17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9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09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2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4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6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7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5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4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5B98A891DBC045B7EF3F1182A2866F" ma:contentTypeVersion="0" ma:contentTypeDescription="Utwórz nowy dokument." ma:contentTypeScope="" ma:versionID="b566e439b2333e025ac46f3c89fca0e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545DD74-60CE-47C4-B295-591C3D996AD5}"/>
</file>

<file path=customXml/itemProps2.xml><?xml version="1.0" encoding="utf-8"?>
<ds:datastoreItem xmlns:ds="http://schemas.openxmlformats.org/officeDocument/2006/customXml" ds:itemID="{526EAAA0-C19E-4F49-99A4-F620A7D8B0EE}"/>
</file>

<file path=customXml/itemProps3.xml><?xml version="1.0" encoding="utf-8"?>
<ds:datastoreItem xmlns:ds="http://schemas.openxmlformats.org/officeDocument/2006/customXml" ds:itemID="{13DF6265-AE57-42A7-8955-431284FD67B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21866</Words>
  <Characters>131202</Characters>
  <Application>Microsoft Office Word</Application>
  <DocSecurity>0</DocSecurity>
  <Lines>1093</Lines>
  <Paragraphs>305</Paragraphs>
  <ScaleCrop>false</ScaleCrop>
  <Company/>
  <LinksUpToDate>false</LinksUpToDate>
  <CharactersWithSpaces>152763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XML Schema</dc:title>
  <dc:subject/>
  <dc:creator>Zawistowski Marcin</dc:creator>
  <cp:keywords/>
  <dc:description/>
  <cp:lastModifiedBy>Zawistowski Marcin</cp:lastModifiedBy>
  <cp:revision>2</cp:revision>
  <dcterms:created xsi:type="dcterms:W3CDTF">2020-06-29T15:30:00Z</dcterms:created>
  <dcterms:modified xsi:type="dcterms:W3CDTF">2020-06-29T15:30:00Z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0x010100C25B98A891DBC045B7EF3F1182A2866F</vt:lpwstr>
  </property>
</Properties>
</file>